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2C3D24" w:rsidRPr="002C3D24" w:rsidTr="002C3D24">
        <w:trPr>
          <w:tblCellSpacing w:w="0" w:type="dxa"/>
        </w:trPr>
        <w:tc>
          <w:tcPr>
            <w:tcW w:w="10500" w:type="dxa"/>
            <w:vAlign w:val="center"/>
            <w:hideMark/>
          </w:tcPr>
          <w:p w:rsidR="002C3D24" w:rsidRPr="002C3D24" w:rsidRDefault="002C3D24" w:rsidP="002C3D24">
            <w:pPr>
              <w:spacing w:before="225" w:after="15" w:line="240" w:lineRule="auto"/>
              <w:ind w:left="1050" w:right="2250"/>
              <w:jc w:val="both"/>
              <w:rPr>
                <w:rFonts w:ascii="Arial" w:eastAsia="Times New Roman" w:hAnsi="Arial" w:cs="Arial"/>
                <w:sz w:val="20"/>
                <w:szCs w:val="20"/>
              </w:rPr>
            </w:pPr>
            <w:r w:rsidRPr="002C3D24">
              <w:rPr>
                <w:rFonts w:ascii="Arial" w:eastAsia="Times New Roman" w:hAnsi="Arial" w:cs="Arial"/>
                <w:sz w:val="20"/>
                <w:szCs w:val="20"/>
              </w:rPr>
              <w:t>Temeljem članaka 30., 30.a, 32., 33., 36., 38. i 42. Zakona o financiranju jedinica lokalne i područne (regionalne) samouprave (Narodne novine broj 117/93., 33/00., 73/00. i 59/01, 107/01., 117/01.- ispravak, 150/02., 147/03., 132/06., 73/08, te članka 172 . OPZ-a (Narodne novine broj 127/00. i 86/01.-ispravak) i članka 29. Statuta općine Brckovljani (Službeni glasnik Općine Brckovljani broj 03/09), Općinsko vijeće općine Brckovljani na svojoj 5. sjednici održanoj 17. studenog 2009.</w:t>
            </w:r>
            <w:r w:rsidRPr="002C3D24">
              <w:rPr>
                <w:rFonts w:ascii="Arial" w:eastAsia="Times New Roman" w:hAnsi="Arial" w:cs="Arial"/>
                <w:sz w:val="20"/>
              </w:rPr>
              <w:t> </w:t>
            </w:r>
            <w:r w:rsidRPr="002C3D24">
              <w:rPr>
                <w:rFonts w:ascii="Arial" w:eastAsia="Times New Roman" w:hAnsi="Arial" w:cs="Arial"/>
                <w:sz w:val="20"/>
                <w:szCs w:val="20"/>
              </w:rPr>
              <w:t>godine donijelo je</w:t>
            </w:r>
          </w:p>
        </w:tc>
        <w:tc>
          <w:tcPr>
            <w:tcW w:w="1100" w:type="pct"/>
            <w:vAlign w:val="center"/>
            <w:hideMark/>
          </w:tcPr>
          <w:p w:rsidR="002C3D24" w:rsidRPr="002C3D24" w:rsidRDefault="002C3D24" w:rsidP="002C3D24">
            <w:pPr>
              <w:spacing w:after="0" w:line="240" w:lineRule="auto"/>
              <w:rPr>
                <w:rFonts w:ascii="Times New Roman" w:eastAsia="Times New Roman" w:hAnsi="Times New Roman" w:cs="Times New Roman"/>
                <w:sz w:val="24"/>
                <w:szCs w:val="24"/>
              </w:rPr>
            </w:pPr>
          </w:p>
        </w:tc>
      </w:tr>
    </w:tbl>
    <w:p w:rsidR="002C3D24" w:rsidRPr="002C3D24" w:rsidRDefault="002C3D24" w:rsidP="002C3D24">
      <w:pPr>
        <w:spacing w:before="360" w:after="240" w:line="240" w:lineRule="atLeast"/>
        <w:jc w:val="center"/>
        <w:rPr>
          <w:rFonts w:ascii="Arial" w:eastAsia="Times New Roman" w:hAnsi="Arial" w:cs="Arial"/>
          <w:b/>
          <w:bCs/>
          <w:color w:val="000000"/>
          <w:sz w:val="20"/>
          <w:szCs w:val="20"/>
        </w:rPr>
      </w:pPr>
      <w:r w:rsidRPr="002C3D24">
        <w:rPr>
          <w:rFonts w:ascii="Arial" w:eastAsia="Times New Roman" w:hAnsi="Arial" w:cs="Arial"/>
          <w:b/>
          <w:bCs/>
          <w:color w:val="000000"/>
          <w:sz w:val="24"/>
          <w:szCs w:val="24"/>
        </w:rPr>
        <w:t>ODLUKU </w:t>
      </w:r>
      <w:r w:rsidRPr="002C3D24">
        <w:rPr>
          <w:rFonts w:ascii="Arial" w:eastAsia="Times New Roman" w:hAnsi="Arial" w:cs="Arial"/>
          <w:b/>
          <w:bCs/>
          <w:color w:val="000000"/>
          <w:sz w:val="24"/>
          <w:szCs w:val="24"/>
        </w:rPr>
        <w:br/>
        <w:t>o općinskim porezima</w:t>
      </w:r>
    </w:p>
    <w:p w:rsidR="002C3D24" w:rsidRPr="002C3D24" w:rsidRDefault="002C3D24" w:rsidP="002C3D24">
      <w:pPr>
        <w:spacing w:before="360" w:after="240" w:line="240" w:lineRule="atLeast"/>
        <w:ind w:left="1050" w:right="1050"/>
        <w:rPr>
          <w:rFonts w:ascii="Arial" w:eastAsia="Times New Roman" w:hAnsi="Arial" w:cs="Arial"/>
          <w:b/>
          <w:bCs/>
          <w:color w:val="000000"/>
          <w:sz w:val="20"/>
          <w:szCs w:val="20"/>
        </w:rPr>
      </w:pPr>
      <w:r w:rsidRPr="002C3D24">
        <w:rPr>
          <w:rFonts w:ascii="Arial" w:eastAsia="Times New Roman" w:hAnsi="Arial" w:cs="Arial"/>
          <w:b/>
          <w:bCs/>
          <w:color w:val="000000"/>
          <w:sz w:val="24"/>
          <w:szCs w:val="24"/>
        </w:rPr>
        <w:t>I. Opće odredbe</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1.</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Ovom odlukom utvrđuju se stope, visina porezne osnovice, te način obračuna i plaćanja općinskih poreza koji su vlastiti izvori prihoda općine.</w:t>
      </w:r>
    </w:p>
    <w:p w:rsidR="002C3D24" w:rsidRPr="002C3D24" w:rsidRDefault="002C3D24" w:rsidP="002C3D24">
      <w:pPr>
        <w:spacing w:before="360" w:after="240" w:line="240" w:lineRule="atLeast"/>
        <w:ind w:left="1050" w:right="1050"/>
        <w:rPr>
          <w:rFonts w:ascii="Arial" w:eastAsia="Times New Roman" w:hAnsi="Arial" w:cs="Arial"/>
          <w:b/>
          <w:bCs/>
          <w:color w:val="000000"/>
          <w:sz w:val="20"/>
          <w:szCs w:val="20"/>
        </w:rPr>
      </w:pPr>
      <w:r w:rsidRPr="002C3D24">
        <w:rPr>
          <w:rFonts w:ascii="Arial" w:eastAsia="Times New Roman" w:hAnsi="Arial" w:cs="Arial"/>
          <w:b/>
          <w:bCs/>
          <w:color w:val="000000"/>
          <w:sz w:val="24"/>
          <w:szCs w:val="24"/>
        </w:rPr>
        <w:t>II. Vrste poreza</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2.</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Općini pripadaju slijedeći općinski porezi:</w:t>
      </w:r>
    </w:p>
    <w:p w:rsidR="002C3D24" w:rsidRPr="002C3D24" w:rsidRDefault="002C3D24" w:rsidP="002C3D24">
      <w:pPr>
        <w:spacing w:before="15" w:after="15" w:line="240" w:lineRule="auto"/>
        <w:ind w:left="1500" w:right="1050" w:hanging="150"/>
        <w:jc w:val="both"/>
        <w:rPr>
          <w:rFonts w:ascii="Arial" w:eastAsia="Times New Roman" w:hAnsi="Arial" w:cs="Arial"/>
          <w:color w:val="000000"/>
          <w:sz w:val="20"/>
          <w:szCs w:val="20"/>
        </w:rPr>
      </w:pPr>
      <w:r w:rsidRPr="002C3D24">
        <w:rPr>
          <w:rFonts w:ascii="Arial" w:eastAsia="Times New Roman" w:hAnsi="Arial" w:cs="Arial"/>
          <w:color w:val="000000"/>
          <w:sz w:val="20"/>
          <w:szCs w:val="20"/>
        </w:rPr>
        <w:t>1. </w:t>
      </w:r>
      <w:r w:rsidRPr="002C3D24">
        <w:rPr>
          <w:rFonts w:ascii="Arial" w:eastAsia="Times New Roman" w:hAnsi="Arial" w:cs="Arial"/>
          <w:color w:val="000000"/>
          <w:sz w:val="20"/>
        </w:rPr>
        <w:t> </w:t>
      </w:r>
      <w:r w:rsidRPr="002C3D24">
        <w:rPr>
          <w:rFonts w:ascii="Arial" w:eastAsia="Times New Roman" w:hAnsi="Arial" w:cs="Arial"/>
          <w:color w:val="000000"/>
          <w:sz w:val="20"/>
          <w:szCs w:val="20"/>
        </w:rPr>
        <w:t>Prirez porezu na dohodak</w:t>
      </w:r>
    </w:p>
    <w:p w:rsidR="002C3D24" w:rsidRPr="002C3D24" w:rsidRDefault="002C3D24" w:rsidP="002C3D24">
      <w:pPr>
        <w:spacing w:before="15" w:after="15" w:line="240" w:lineRule="auto"/>
        <w:ind w:left="1500" w:right="1050" w:hanging="150"/>
        <w:jc w:val="both"/>
        <w:rPr>
          <w:rFonts w:ascii="Arial" w:eastAsia="Times New Roman" w:hAnsi="Arial" w:cs="Arial"/>
          <w:color w:val="000000"/>
          <w:sz w:val="20"/>
          <w:szCs w:val="20"/>
        </w:rPr>
      </w:pPr>
      <w:r w:rsidRPr="002C3D24">
        <w:rPr>
          <w:rFonts w:ascii="Arial" w:eastAsia="Times New Roman" w:hAnsi="Arial" w:cs="Arial"/>
          <w:color w:val="000000"/>
          <w:sz w:val="20"/>
          <w:szCs w:val="20"/>
        </w:rPr>
        <w:t>2. </w:t>
      </w:r>
      <w:r w:rsidRPr="002C3D24">
        <w:rPr>
          <w:rFonts w:ascii="Arial" w:eastAsia="Times New Roman" w:hAnsi="Arial" w:cs="Arial"/>
          <w:color w:val="000000"/>
          <w:sz w:val="20"/>
        </w:rPr>
        <w:t> </w:t>
      </w:r>
      <w:r w:rsidRPr="002C3D24">
        <w:rPr>
          <w:rFonts w:ascii="Arial" w:eastAsia="Times New Roman" w:hAnsi="Arial" w:cs="Arial"/>
          <w:color w:val="000000"/>
          <w:sz w:val="20"/>
          <w:szCs w:val="20"/>
        </w:rPr>
        <w:t>Porez na potrošnju</w:t>
      </w:r>
    </w:p>
    <w:p w:rsidR="002C3D24" w:rsidRPr="002C3D24" w:rsidRDefault="002C3D24" w:rsidP="002C3D24">
      <w:pPr>
        <w:spacing w:before="15" w:after="15" w:line="240" w:lineRule="auto"/>
        <w:ind w:left="1500" w:right="1050" w:hanging="150"/>
        <w:jc w:val="both"/>
        <w:rPr>
          <w:rFonts w:ascii="Arial" w:eastAsia="Times New Roman" w:hAnsi="Arial" w:cs="Arial"/>
          <w:color w:val="000000"/>
          <w:sz w:val="20"/>
          <w:szCs w:val="20"/>
        </w:rPr>
      </w:pPr>
      <w:r w:rsidRPr="002C3D24">
        <w:rPr>
          <w:rFonts w:ascii="Arial" w:eastAsia="Times New Roman" w:hAnsi="Arial" w:cs="Arial"/>
          <w:color w:val="000000"/>
          <w:sz w:val="20"/>
          <w:szCs w:val="20"/>
        </w:rPr>
        <w:t>3. </w:t>
      </w:r>
      <w:r w:rsidRPr="002C3D24">
        <w:rPr>
          <w:rFonts w:ascii="Arial" w:eastAsia="Times New Roman" w:hAnsi="Arial" w:cs="Arial"/>
          <w:color w:val="000000"/>
          <w:sz w:val="20"/>
        </w:rPr>
        <w:t> </w:t>
      </w:r>
      <w:r w:rsidRPr="002C3D24">
        <w:rPr>
          <w:rFonts w:ascii="Arial" w:eastAsia="Times New Roman" w:hAnsi="Arial" w:cs="Arial"/>
          <w:color w:val="000000"/>
          <w:sz w:val="20"/>
          <w:szCs w:val="20"/>
        </w:rPr>
        <w:t>Porez na kuće za odmor</w:t>
      </w:r>
    </w:p>
    <w:p w:rsidR="002C3D24" w:rsidRPr="002C3D24" w:rsidRDefault="002C3D24" w:rsidP="002C3D24">
      <w:pPr>
        <w:spacing w:before="15" w:after="15" w:line="240" w:lineRule="auto"/>
        <w:ind w:left="1500" w:right="1050" w:hanging="150"/>
        <w:jc w:val="both"/>
        <w:rPr>
          <w:rFonts w:ascii="Arial" w:eastAsia="Times New Roman" w:hAnsi="Arial" w:cs="Arial"/>
          <w:color w:val="000000"/>
          <w:sz w:val="20"/>
          <w:szCs w:val="20"/>
        </w:rPr>
      </w:pPr>
      <w:r w:rsidRPr="002C3D24">
        <w:rPr>
          <w:rFonts w:ascii="Arial" w:eastAsia="Times New Roman" w:hAnsi="Arial" w:cs="Arial"/>
          <w:color w:val="000000"/>
          <w:sz w:val="20"/>
          <w:szCs w:val="20"/>
        </w:rPr>
        <w:t>4. </w:t>
      </w:r>
      <w:r w:rsidRPr="002C3D24">
        <w:rPr>
          <w:rFonts w:ascii="Arial" w:eastAsia="Times New Roman" w:hAnsi="Arial" w:cs="Arial"/>
          <w:color w:val="000000"/>
          <w:sz w:val="20"/>
        </w:rPr>
        <w:t> </w:t>
      </w:r>
      <w:r w:rsidRPr="002C3D24">
        <w:rPr>
          <w:rFonts w:ascii="Arial" w:eastAsia="Times New Roman" w:hAnsi="Arial" w:cs="Arial"/>
          <w:color w:val="000000"/>
          <w:sz w:val="20"/>
          <w:szCs w:val="20"/>
        </w:rPr>
        <w:t>Porez na tvrtku ili naziv</w:t>
      </w:r>
    </w:p>
    <w:p w:rsidR="002C3D24" w:rsidRPr="002C3D24" w:rsidRDefault="002C3D24" w:rsidP="002C3D24">
      <w:pPr>
        <w:spacing w:before="15" w:after="15" w:line="240" w:lineRule="auto"/>
        <w:ind w:left="1500" w:right="1050" w:hanging="150"/>
        <w:jc w:val="both"/>
        <w:rPr>
          <w:rFonts w:ascii="Arial" w:eastAsia="Times New Roman" w:hAnsi="Arial" w:cs="Arial"/>
          <w:color w:val="000000"/>
          <w:sz w:val="20"/>
          <w:szCs w:val="20"/>
        </w:rPr>
      </w:pPr>
      <w:r w:rsidRPr="002C3D24">
        <w:rPr>
          <w:rFonts w:ascii="Arial" w:eastAsia="Times New Roman" w:hAnsi="Arial" w:cs="Arial"/>
          <w:color w:val="000000"/>
          <w:sz w:val="20"/>
          <w:szCs w:val="20"/>
        </w:rPr>
        <w:t>5. </w:t>
      </w:r>
      <w:r w:rsidRPr="002C3D24">
        <w:rPr>
          <w:rFonts w:ascii="Arial" w:eastAsia="Times New Roman" w:hAnsi="Arial" w:cs="Arial"/>
          <w:color w:val="000000"/>
          <w:sz w:val="20"/>
        </w:rPr>
        <w:t> </w:t>
      </w:r>
      <w:r w:rsidRPr="002C3D24">
        <w:rPr>
          <w:rFonts w:ascii="Arial" w:eastAsia="Times New Roman" w:hAnsi="Arial" w:cs="Arial"/>
          <w:color w:val="000000"/>
          <w:sz w:val="20"/>
          <w:szCs w:val="20"/>
        </w:rPr>
        <w:t>Porez na korištenje javnih površina</w:t>
      </w:r>
    </w:p>
    <w:p w:rsidR="002C3D24" w:rsidRPr="002C3D24" w:rsidRDefault="002C3D24" w:rsidP="002C3D24">
      <w:pPr>
        <w:spacing w:before="360" w:after="240" w:line="240" w:lineRule="atLeast"/>
        <w:ind w:left="1050" w:right="1050"/>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PRIREZ POREZU NA DOHODAK</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3.</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Prirez porezu na dohodak </w:t>
      </w:r>
      <w:r w:rsidRPr="002C3D24">
        <w:rPr>
          <w:rFonts w:ascii="Arial" w:eastAsia="Times New Roman" w:hAnsi="Arial" w:cs="Arial"/>
          <w:color w:val="000000"/>
          <w:sz w:val="20"/>
        </w:rPr>
        <w:t> </w:t>
      </w:r>
      <w:r w:rsidRPr="002C3D24">
        <w:rPr>
          <w:rFonts w:ascii="Arial" w:eastAsia="Times New Roman" w:hAnsi="Arial" w:cs="Arial"/>
          <w:color w:val="000000"/>
          <w:sz w:val="20"/>
          <w:szCs w:val="20"/>
        </w:rPr>
        <w:t>utvrđen je posebnom odlukom Općinskog vijeća za porezne obveznike kojima je prebivalište na području općine Brckovljani.</w:t>
      </w:r>
    </w:p>
    <w:p w:rsidR="002C3D24" w:rsidRPr="002C3D24" w:rsidRDefault="002C3D24" w:rsidP="002C3D24">
      <w:pPr>
        <w:spacing w:before="360" w:after="240" w:line="240" w:lineRule="atLeast"/>
        <w:ind w:left="1050" w:right="1050"/>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POREZ NA POTROŠNJU</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4.</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Porez na potrošnju alkoholnih i bezalkoholnih pića i piva plaća se po stopi od 3 %.</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5.</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Osnovica poreza na potrošnju iz članka 4. ove odluke je prodajna cijena pića po kojoj se prodaju u ugostiteljskim objektima bez poreza na dodanu vrijednost.</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6.</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lastRenderedPageBreak/>
        <w:t>Porez na potrošnju alkoholnih i bezalkoholnih pića i piva obveznik poreza obračunava i plaća do 15.- og u mjesecu za protekli mjesec. Obračunati porez iskazuje se u evidencijama propisanim za obračun poreza na promet proizvoda i usluga.</w:t>
      </w:r>
    </w:p>
    <w:p w:rsidR="002C3D24" w:rsidRPr="002C3D24" w:rsidRDefault="002C3D24" w:rsidP="002C3D24">
      <w:pPr>
        <w:spacing w:before="360" w:after="240" w:line="240" w:lineRule="atLeast"/>
        <w:ind w:left="1050" w:right="1050"/>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POREZ NA KUĆE ZA ODMOR</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7.</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Porez na kuće za odmor plaća se u iznosu od 15,00 kuna po četvornom metru korisne površine kuće za odmor.</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Vlasnici kuća za odmor sa stalnim prebivalištem na području Općine Brckovljani (koji posjeduju vlastiti stan ili kuću, ili su stanari ili podstanari sa valjanim ugovorom) ostvaruju popust, te se plaća iznos od 12,00 kuna po četvornom metru. Porez na kuće za odmor plaća se na površinu iznad 20 m</w:t>
      </w:r>
      <w:r w:rsidRPr="002C3D24">
        <w:rPr>
          <w:rFonts w:ascii="Arial" w:eastAsia="Times New Roman" w:hAnsi="Arial" w:cs="Arial"/>
          <w:color w:val="000000"/>
          <w:sz w:val="20"/>
          <w:szCs w:val="20"/>
          <w:vertAlign w:val="superscript"/>
        </w:rPr>
        <w:t>2</w:t>
      </w:r>
      <w:r w:rsidRPr="002C3D24">
        <w:rPr>
          <w:rFonts w:ascii="Arial" w:eastAsia="Times New Roman" w:hAnsi="Arial" w:cs="Arial"/>
          <w:color w:val="000000"/>
          <w:sz w:val="20"/>
          <w:szCs w:val="20"/>
        </w:rPr>
        <w:t>.</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8.</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Porez na kuće za odmor plaćaju pravne i fizičke osobe koje su vlasnici kuća za odmor.</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Kućom za odmor smatra se svaka zgrada ili dio zgrade ili stan koji se koriste povremeno ili sezonski. Kućom za odmor, u smislu Zakona smatraju se gospodarstvene zgrade koje služe za smještaj poljoprivrednih strojeva, oruđa i drugog pribora, a naplaćuje se na površinu iznad 20 m2.</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9.</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Vlasnici kuća (objekata za odmor) plaćaju jedinstveni iznos iz članka 7. ove odluke na cijelom području Općine Brckovljani.</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10.</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Porez na kuće za odmor ne plaća se na kuće za odmor koje se ne mogu koristiti.</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Kućama za odmor iz stavka 1. ovog članka smatraju se kuće za odmor koje se ne mogu koristiti zbog ratnih razaranja i prirodnih nepogoda (poplava, požar, potres), te starosti i trošnosti. Porez na kuće za odmor ne plaća se na kuće za odmor na vrijeme dok su u njima smješteni prognanici i izbjeglice.</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Porez na kuće za odmor ne plaća se za odmarališta u vlasništvu jedinica lokalne i područne (regionalne) samouprave koja služe za smještaj djece do 15 godina starosti.</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Odlukom općine mogu se propisati i druga oslobođenja od plaćanja poreza na kuće za odmor iz gospodarstvenih i socijalnih razloga.</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Zahtjev za oslobađanje plaćanja iz ovog članka podnosi se pismeno Općini Brckovljani u roku 15 dana od dana primitka Rješenja, te ih Općinsko vijeće može osloboditi plaćanja na prijedlog Općinskog načelnika uz obrazloženje.</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11.</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Obveznici poreza na kuće za odmor moraju nadležnom poreznom tijelu dostaviti podatke o kućama za odmor, koji se odnose na mjesto gdje se nalaze ti objekti, te korisnu površinu. Podatke iz stavka 2. ovog članka treba dostaviti do 31. ožujka godine za koju se utvrđuje porez na kuće za odmor. Porez na kuće za odmor plaća se u roku 15 dana od dana dostave rješenja o utvrđivanju toga poreza. Porez na kuće za odmor pripada općini Brckovljani. Vlasnici kuća za odmor dužni su prijaviti nekretnine Općini Brckovljani do kraja kalendarske godine.</w:t>
      </w:r>
    </w:p>
    <w:p w:rsidR="002C3D24" w:rsidRPr="002C3D24" w:rsidRDefault="002C3D24" w:rsidP="002C3D24">
      <w:pPr>
        <w:spacing w:before="360" w:after="240" w:line="240" w:lineRule="atLeast"/>
        <w:ind w:left="1050" w:right="1050"/>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POREZ NA TVRTKU ILI NAZIV</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12.</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lastRenderedPageBreak/>
        <w:t>Porez na tvrtku odnosno naziv plaćaju godišnje pravne i fizičke osobe koje su obveznici poreza na dobit ili poreza na dohodak u iskazanim iznosima:</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lang w:val="en-US"/>
        </w:rPr>
        <w:t> </w:t>
      </w:r>
    </w:p>
    <w:tbl>
      <w:tblPr>
        <w:tblW w:w="11655" w:type="dxa"/>
        <w:tblInd w:w="40" w:type="dxa"/>
        <w:tblCellMar>
          <w:left w:w="0" w:type="dxa"/>
          <w:right w:w="0" w:type="dxa"/>
        </w:tblCellMar>
        <w:tblLook w:val="04A0"/>
      </w:tblPr>
      <w:tblGrid>
        <w:gridCol w:w="251"/>
        <w:gridCol w:w="9847"/>
        <w:gridCol w:w="1557"/>
      </w:tblGrid>
      <w:tr w:rsidR="002C3D24" w:rsidRPr="002C3D24" w:rsidTr="002C3D24">
        <w:trPr>
          <w:trHeight w:val="270"/>
        </w:trPr>
        <w:tc>
          <w:tcPr>
            <w:tcW w:w="9885" w:type="dxa"/>
            <w:gridSpan w:val="2"/>
            <w:tcMar>
              <w:top w:w="0" w:type="dxa"/>
              <w:left w:w="40" w:type="dxa"/>
              <w:bottom w:w="0" w:type="dxa"/>
              <w:right w:w="40" w:type="dxa"/>
            </w:tcMar>
            <w:hideMark/>
          </w:tcPr>
          <w:p w:rsidR="002C3D24" w:rsidRPr="002C3D24" w:rsidRDefault="002C3D24" w:rsidP="002C3D24">
            <w:pPr>
              <w:spacing w:after="0" w:line="240" w:lineRule="auto"/>
              <w:rPr>
                <w:rFonts w:ascii="Arial" w:eastAsia="Times New Roman" w:hAnsi="Arial" w:cs="Arial"/>
                <w:sz w:val="20"/>
                <w:szCs w:val="20"/>
              </w:rPr>
            </w:pPr>
            <w:r w:rsidRPr="002C3D24">
              <w:rPr>
                <w:rFonts w:ascii="Arial" w:eastAsia="Times New Roman" w:hAnsi="Arial" w:cs="Arial"/>
                <w:sz w:val="20"/>
                <w:szCs w:val="20"/>
              </w:rPr>
              <w:t>Pravne osobe:</w:t>
            </w:r>
          </w:p>
        </w:tc>
        <w:tc>
          <w:tcPr>
            <w:tcW w:w="1530" w:type="dxa"/>
            <w:tcMar>
              <w:top w:w="0" w:type="dxa"/>
              <w:left w:w="40" w:type="dxa"/>
              <w:bottom w:w="0" w:type="dxa"/>
              <w:right w:w="40" w:type="dxa"/>
            </w:tcMar>
            <w:hideMark/>
          </w:tcPr>
          <w:p w:rsidR="002C3D24" w:rsidRPr="002C3D24" w:rsidRDefault="002C3D24" w:rsidP="002C3D24">
            <w:pPr>
              <w:spacing w:after="0" w:line="240" w:lineRule="auto"/>
              <w:jc w:val="right"/>
              <w:rPr>
                <w:rFonts w:ascii="Arial" w:eastAsia="Times New Roman" w:hAnsi="Arial" w:cs="Arial"/>
                <w:sz w:val="20"/>
                <w:szCs w:val="20"/>
              </w:rPr>
            </w:pPr>
            <w:r w:rsidRPr="002C3D24">
              <w:rPr>
                <w:rFonts w:ascii="Arial" w:eastAsia="Times New Roman" w:hAnsi="Arial" w:cs="Arial"/>
                <w:sz w:val="20"/>
                <w:szCs w:val="20"/>
              </w:rPr>
              <w:t> </w:t>
            </w:r>
          </w:p>
        </w:tc>
      </w:tr>
      <w:tr w:rsidR="002C3D24" w:rsidRPr="002C3D24" w:rsidTr="002C3D24">
        <w:trPr>
          <w:trHeight w:val="345"/>
        </w:trPr>
        <w:tc>
          <w:tcPr>
            <w:tcW w:w="210"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1.</w:t>
            </w:r>
          </w:p>
        </w:tc>
        <w:tc>
          <w:tcPr>
            <w:tcW w:w="955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Pravne osobe s područja industrije, poljoprivrede, šumarstva, lova, ribarstva, rudarstva, prerađivačke industrije, građevinarstva, prijevoza i prijevoza putnika</w:t>
            </w:r>
          </w:p>
        </w:tc>
        <w:tc>
          <w:tcPr>
            <w:tcW w:w="1530" w:type="dxa"/>
            <w:tcMar>
              <w:top w:w="0" w:type="dxa"/>
              <w:left w:w="40" w:type="dxa"/>
              <w:bottom w:w="0" w:type="dxa"/>
              <w:right w:w="40" w:type="dxa"/>
            </w:tcMar>
            <w:hideMark/>
          </w:tcPr>
          <w:p w:rsidR="002C3D24" w:rsidRPr="002C3D24" w:rsidRDefault="002C3D24" w:rsidP="002C3D24">
            <w:pPr>
              <w:spacing w:after="0" w:line="240" w:lineRule="auto"/>
              <w:jc w:val="right"/>
              <w:rPr>
                <w:rFonts w:ascii="Times New Roman" w:eastAsia="Times New Roman" w:hAnsi="Times New Roman" w:cs="Times New Roman"/>
                <w:sz w:val="24"/>
                <w:szCs w:val="24"/>
              </w:rPr>
            </w:pPr>
            <w:r w:rsidRPr="002C3D24">
              <w:rPr>
                <w:rFonts w:ascii="Arial" w:eastAsia="Times New Roman" w:hAnsi="Arial" w:cs="Arial"/>
                <w:sz w:val="20"/>
                <w:szCs w:val="20"/>
              </w:rPr>
              <w:t>400,00 kuna</w:t>
            </w:r>
          </w:p>
        </w:tc>
      </w:tr>
      <w:tr w:rsidR="002C3D24" w:rsidRPr="002C3D24" w:rsidTr="002C3D24">
        <w:trPr>
          <w:trHeight w:val="240"/>
        </w:trPr>
        <w:tc>
          <w:tcPr>
            <w:tcW w:w="210"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2.</w:t>
            </w:r>
          </w:p>
        </w:tc>
        <w:tc>
          <w:tcPr>
            <w:tcW w:w="955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Pravne osobe koje obavljaju djelatnost opskrbe električnom energijom, plinom i vodom</w:t>
            </w:r>
          </w:p>
        </w:tc>
        <w:tc>
          <w:tcPr>
            <w:tcW w:w="1530" w:type="dxa"/>
            <w:tcMar>
              <w:top w:w="0" w:type="dxa"/>
              <w:left w:w="40" w:type="dxa"/>
              <w:bottom w:w="0" w:type="dxa"/>
              <w:right w:w="40" w:type="dxa"/>
            </w:tcMar>
            <w:hideMark/>
          </w:tcPr>
          <w:p w:rsidR="002C3D24" w:rsidRPr="002C3D24" w:rsidRDefault="002C3D24" w:rsidP="002C3D24">
            <w:pPr>
              <w:spacing w:after="0" w:line="240" w:lineRule="auto"/>
              <w:jc w:val="right"/>
              <w:rPr>
                <w:rFonts w:ascii="Times New Roman" w:eastAsia="Times New Roman" w:hAnsi="Times New Roman" w:cs="Times New Roman"/>
                <w:sz w:val="24"/>
                <w:szCs w:val="24"/>
              </w:rPr>
            </w:pPr>
            <w:r w:rsidRPr="002C3D24">
              <w:rPr>
                <w:rFonts w:ascii="Arial" w:eastAsia="Times New Roman" w:hAnsi="Arial" w:cs="Arial"/>
                <w:sz w:val="20"/>
                <w:szCs w:val="20"/>
              </w:rPr>
              <w:t>520,00 kuna</w:t>
            </w:r>
          </w:p>
        </w:tc>
      </w:tr>
      <w:tr w:rsidR="002C3D24" w:rsidRPr="002C3D24" w:rsidTr="002C3D24">
        <w:trPr>
          <w:trHeight w:val="195"/>
        </w:trPr>
        <w:tc>
          <w:tcPr>
            <w:tcW w:w="210" w:type="dxa"/>
            <w:tcMar>
              <w:top w:w="0" w:type="dxa"/>
              <w:left w:w="40" w:type="dxa"/>
              <w:bottom w:w="0" w:type="dxa"/>
              <w:right w:w="40" w:type="dxa"/>
            </w:tcMar>
            <w:hideMark/>
          </w:tcPr>
          <w:p w:rsidR="002C3D24" w:rsidRPr="002C3D24" w:rsidRDefault="002C3D24" w:rsidP="002C3D24">
            <w:pPr>
              <w:spacing w:after="0" w:line="195" w:lineRule="atLeast"/>
              <w:rPr>
                <w:rFonts w:ascii="Times New Roman" w:eastAsia="Times New Roman" w:hAnsi="Times New Roman" w:cs="Times New Roman"/>
                <w:sz w:val="24"/>
                <w:szCs w:val="24"/>
              </w:rPr>
            </w:pPr>
            <w:r w:rsidRPr="002C3D24">
              <w:rPr>
                <w:rFonts w:ascii="Arial" w:eastAsia="Times New Roman" w:hAnsi="Arial" w:cs="Arial"/>
                <w:sz w:val="20"/>
                <w:szCs w:val="20"/>
              </w:rPr>
              <w:t>3.</w:t>
            </w:r>
          </w:p>
        </w:tc>
        <w:tc>
          <w:tcPr>
            <w:tcW w:w="9555" w:type="dxa"/>
            <w:tcMar>
              <w:top w:w="0" w:type="dxa"/>
              <w:left w:w="40" w:type="dxa"/>
              <w:bottom w:w="0" w:type="dxa"/>
              <w:right w:w="40" w:type="dxa"/>
            </w:tcMar>
            <w:hideMark/>
          </w:tcPr>
          <w:p w:rsidR="002C3D24" w:rsidRPr="002C3D24" w:rsidRDefault="002C3D24" w:rsidP="002C3D24">
            <w:pPr>
              <w:spacing w:after="0" w:line="195" w:lineRule="atLeast"/>
              <w:rPr>
                <w:rFonts w:ascii="Times New Roman" w:eastAsia="Times New Roman" w:hAnsi="Times New Roman" w:cs="Times New Roman"/>
                <w:sz w:val="24"/>
                <w:szCs w:val="24"/>
              </w:rPr>
            </w:pPr>
            <w:r w:rsidRPr="002C3D24">
              <w:rPr>
                <w:rFonts w:ascii="Arial" w:eastAsia="Times New Roman" w:hAnsi="Arial" w:cs="Arial"/>
                <w:sz w:val="20"/>
                <w:szCs w:val="20"/>
              </w:rPr>
              <w:t>Pravne osobe koje obavljaju promet roba i usluga s područja ugostiteljstva i trgovine</w:t>
            </w:r>
          </w:p>
        </w:tc>
        <w:tc>
          <w:tcPr>
            <w:tcW w:w="1530" w:type="dxa"/>
            <w:tcMar>
              <w:top w:w="0" w:type="dxa"/>
              <w:left w:w="40" w:type="dxa"/>
              <w:bottom w:w="0" w:type="dxa"/>
              <w:right w:w="40" w:type="dxa"/>
            </w:tcMar>
            <w:hideMark/>
          </w:tcPr>
          <w:p w:rsidR="002C3D24" w:rsidRPr="002C3D24" w:rsidRDefault="002C3D24" w:rsidP="002C3D24">
            <w:pPr>
              <w:spacing w:after="0" w:line="195" w:lineRule="atLeast"/>
              <w:jc w:val="right"/>
              <w:rPr>
                <w:rFonts w:ascii="Times New Roman" w:eastAsia="Times New Roman" w:hAnsi="Times New Roman" w:cs="Times New Roman"/>
                <w:sz w:val="24"/>
                <w:szCs w:val="24"/>
              </w:rPr>
            </w:pPr>
            <w:r w:rsidRPr="002C3D24">
              <w:rPr>
                <w:rFonts w:ascii="Arial" w:eastAsia="Times New Roman" w:hAnsi="Arial" w:cs="Arial"/>
                <w:sz w:val="20"/>
                <w:szCs w:val="20"/>
              </w:rPr>
              <w:t>520,00 kuna</w:t>
            </w:r>
          </w:p>
        </w:tc>
      </w:tr>
      <w:tr w:rsidR="002C3D24" w:rsidRPr="002C3D24" w:rsidTr="002C3D24">
        <w:trPr>
          <w:trHeight w:val="255"/>
        </w:trPr>
        <w:tc>
          <w:tcPr>
            <w:tcW w:w="210"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4.</w:t>
            </w:r>
          </w:p>
        </w:tc>
        <w:tc>
          <w:tcPr>
            <w:tcW w:w="955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Pravne osobe s područja financijskog posredovanja i knjigovodstvenih usluga i poslovanja nekretnina</w:t>
            </w:r>
          </w:p>
        </w:tc>
        <w:tc>
          <w:tcPr>
            <w:tcW w:w="1530" w:type="dxa"/>
            <w:tcMar>
              <w:top w:w="0" w:type="dxa"/>
              <w:left w:w="40" w:type="dxa"/>
              <w:bottom w:w="0" w:type="dxa"/>
              <w:right w:w="40" w:type="dxa"/>
            </w:tcMar>
            <w:hideMark/>
          </w:tcPr>
          <w:p w:rsidR="002C3D24" w:rsidRPr="002C3D24" w:rsidRDefault="002C3D24" w:rsidP="002C3D24">
            <w:pPr>
              <w:spacing w:after="0" w:line="240" w:lineRule="auto"/>
              <w:jc w:val="right"/>
              <w:rPr>
                <w:rFonts w:ascii="Times New Roman" w:eastAsia="Times New Roman" w:hAnsi="Times New Roman" w:cs="Times New Roman"/>
                <w:sz w:val="24"/>
                <w:szCs w:val="24"/>
              </w:rPr>
            </w:pPr>
            <w:r w:rsidRPr="002C3D24">
              <w:rPr>
                <w:rFonts w:ascii="Arial" w:eastAsia="Times New Roman" w:hAnsi="Arial" w:cs="Arial"/>
                <w:sz w:val="20"/>
                <w:szCs w:val="20"/>
              </w:rPr>
              <w:t>520,00 kuna</w:t>
            </w:r>
          </w:p>
        </w:tc>
      </w:tr>
      <w:tr w:rsidR="002C3D24" w:rsidRPr="002C3D24" w:rsidTr="002C3D24">
        <w:trPr>
          <w:trHeight w:val="285"/>
        </w:trPr>
        <w:tc>
          <w:tcPr>
            <w:tcW w:w="210"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5.</w:t>
            </w:r>
          </w:p>
        </w:tc>
        <w:tc>
          <w:tcPr>
            <w:tcW w:w="955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Druge pravne osobe</w:t>
            </w:r>
          </w:p>
        </w:tc>
        <w:tc>
          <w:tcPr>
            <w:tcW w:w="1530" w:type="dxa"/>
            <w:tcMar>
              <w:top w:w="0" w:type="dxa"/>
              <w:left w:w="40" w:type="dxa"/>
              <w:bottom w:w="0" w:type="dxa"/>
              <w:right w:w="40" w:type="dxa"/>
            </w:tcMar>
            <w:hideMark/>
          </w:tcPr>
          <w:p w:rsidR="002C3D24" w:rsidRPr="002C3D24" w:rsidRDefault="002C3D24" w:rsidP="002C3D24">
            <w:pPr>
              <w:spacing w:after="0" w:line="240" w:lineRule="auto"/>
              <w:jc w:val="right"/>
              <w:rPr>
                <w:rFonts w:ascii="Times New Roman" w:eastAsia="Times New Roman" w:hAnsi="Times New Roman" w:cs="Times New Roman"/>
                <w:sz w:val="24"/>
                <w:szCs w:val="24"/>
              </w:rPr>
            </w:pPr>
            <w:r w:rsidRPr="002C3D24">
              <w:rPr>
                <w:rFonts w:ascii="Arial" w:eastAsia="Times New Roman" w:hAnsi="Arial" w:cs="Arial"/>
                <w:sz w:val="20"/>
                <w:szCs w:val="20"/>
              </w:rPr>
              <w:t>340,00 kuna</w:t>
            </w:r>
          </w:p>
        </w:tc>
      </w:tr>
    </w:tbl>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lang w:val="en-US"/>
        </w:rPr>
        <w:t> </w:t>
      </w:r>
    </w:p>
    <w:tbl>
      <w:tblPr>
        <w:tblW w:w="11625" w:type="dxa"/>
        <w:tblInd w:w="40" w:type="dxa"/>
        <w:tblCellMar>
          <w:left w:w="0" w:type="dxa"/>
          <w:right w:w="0" w:type="dxa"/>
        </w:tblCellMar>
        <w:tblLook w:val="04A0"/>
      </w:tblPr>
      <w:tblGrid>
        <w:gridCol w:w="252"/>
        <w:gridCol w:w="9829"/>
        <w:gridCol w:w="1544"/>
      </w:tblGrid>
      <w:tr w:rsidR="002C3D24" w:rsidRPr="002C3D24" w:rsidTr="002C3D24">
        <w:trPr>
          <w:trHeight w:val="270"/>
        </w:trPr>
        <w:tc>
          <w:tcPr>
            <w:tcW w:w="9870" w:type="dxa"/>
            <w:gridSpan w:val="2"/>
            <w:tcMar>
              <w:top w:w="0" w:type="dxa"/>
              <w:left w:w="40" w:type="dxa"/>
              <w:bottom w:w="0" w:type="dxa"/>
              <w:right w:w="40" w:type="dxa"/>
            </w:tcMar>
            <w:hideMark/>
          </w:tcPr>
          <w:p w:rsidR="002C3D24" w:rsidRPr="002C3D24" w:rsidRDefault="002C3D24" w:rsidP="002C3D24">
            <w:pPr>
              <w:spacing w:after="0" w:line="240" w:lineRule="auto"/>
              <w:rPr>
                <w:rFonts w:ascii="Arial" w:eastAsia="Times New Roman" w:hAnsi="Arial" w:cs="Arial"/>
                <w:sz w:val="20"/>
                <w:szCs w:val="20"/>
              </w:rPr>
            </w:pPr>
            <w:r w:rsidRPr="002C3D24">
              <w:rPr>
                <w:rFonts w:ascii="Arial" w:eastAsia="Times New Roman" w:hAnsi="Arial" w:cs="Arial"/>
                <w:sz w:val="20"/>
                <w:szCs w:val="20"/>
              </w:rPr>
              <w:t>Fizičke osobe:</w:t>
            </w:r>
          </w:p>
        </w:tc>
        <w:tc>
          <w:tcPr>
            <w:tcW w:w="1515" w:type="dxa"/>
            <w:tcMar>
              <w:top w:w="0" w:type="dxa"/>
              <w:left w:w="40" w:type="dxa"/>
              <w:bottom w:w="0" w:type="dxa"/>
              <w:right w:w="40" w:type="dxa"/>
            </w:tcMar>
            <w:hideMark/>
          </w:tcPr>
          <w:p w:rsidR="002C3D24" w:rsidRPr="002C3D24" w:rsidRDefault="002C3D24" w:rsidP="002C3D24">
            <w:pPr>
              <w:spacing w:after="0" w:line="240" w:lineRule="auto"/>
              <w:jc w:val="right"/>
              <w:rPr>
                <w:rFonts w:ascii="Arial" w:eastAsia="Times New Roman" w:hAnsi="Arial" w:cs="Arial"/>
                <w:sz w:val="20"/>
                <w:szCs w:val="20"/>
              </w:rPr>
            </w:pPr>
            <w:r w:rsidRPr="002C3D24">
              <w:rPr>
                <w:rFonts w:ascii="Arial" w:eastAsia="Times New Roman" w:hAnsi="Arial" w:cs="Arial"/>
                <w:sz w:val="20"/>
                <w:szCs w:val="20"/>
              </w:rPr>
              <w:t> </w:t>
            </w:r>
          </w:p>
        </w:tc>
      </w:tr>
      <w:tr w:rsidR="002C3D24" w:rsidRPr="002C3D24" w:rsidTr="002C3D24">
        <w:trPr>
          <w:trHeight w:val="270"/>
        </w:trPr>
        <w:tc>
          <w:tcPr>
            <w:tcW w:w="22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1.</w:t>
            </w:r>
          </w:p>
        </w:tc>
        <w:tc>
          <w:tcPr>
            <w:tcW w:w="952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Trgovačke i ugostiteljske djelatnosti, zabavne radnje</w:t>
            </w:r>
          </w:p>
        </w:tc>
        <w:tc>
          <w:tcPr>
            <w:tcW w:w="1515" w:type="dxa"/>
            <w:tcMar>
              <w:top w:w="0" w:type="dxa"/>
              <w:left w:w="40" w:type="dxa"/>
              <w:bottom w:w="0" w:type="dxa"/>
              <w:right w:w="40" w:type="dxa"/>
            </w:tcMar>
            <w:hideMark/>
          </w:tcPr>
          <w:p w:rsidR="002C3D24" w:rsidRPr="002C3D24" w:rsidRDefault="002C3D24" w:rsidP="002C3D24">
            <w:pPr>
              <w:spacing w:after="0" w:line="240" w:lineRule="auto"/>
              <w:jc w:val="right"/>
              <w:rPr>
                <w:rFonts w:ascii="Times New Roman" w:eastAsia="Times New Roman" w:hAnsi="Times New Roman" w:cs="Times New Roman"/>
                <w:sz w:val="24"/>
                <w:szCs w:val="24"/>
              </w:rPr>
            </w:pPr>
            <w:r w:rsidRPr="002C3D24">
              <w:rPr>
                <w:rFonts w:ascii="Arial" w:eastAsia="Times New Roman" w:hAnsi="Arial" w:cs="Arial"/>
                <w:sz w:val="20"/>
                <w:szCs w:val="20"/>
              </w:rPr>
              <w:t>520,00 kuna</w:t>
            </w:r>
          </w:p>
        </w:tc>
      </w:tr>
      <w:tr w:rsidR="002C3D24" w:rsidRPr="002C3D24" w:rsidTr="002C3D24">
        <w:trPr>
          <w:trHeight w:val="270"/>
        </w:trPr>
        <w:tc>
          <w:tcPr>
            <w:tcW w:w="22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2.</w:t>
            </w:r>
          </w:p>
        </w:tc>
        <w:tc>
          <w:tcPr>
            <w:tcW w:w="952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Zanatske i prerađivačke djelatnosti</w:t>
            </w:r>
          </w:p>
        </w:tc>
        <w:tc>
          <w:tcPr>
            <w:tcW w:w="1515" w:type="dxa"/>
            <w:tcMar>
              <w:top w:w="0" w:type="dxa"/>
              <w:left w:w="40" w:type="dxa"/>
              <w:bottom w:w="0" w:type="dxa"/>
              <w:right w:w="40" w:type="dxa"/>
            </w:tcMar>
            <w:hideMark/>
          </w:tcPr>
          <w:p w:rsidR="002C3D24" w:rsidRPr="002C3D24" w:rsidRDefault="002C3D24" w:rsidP="002C3D24">
            <w:pPr>
              <w:spacing w:after="0" w:line="240" w:lineRule="auto"/>
              <w:jc w:val="right"/>
              <w:rPr>
                <w:rFonts w:ascii="Times New Roman" w:eastAsia="Times New Roman" w:hAnsi="Times New Roman" w:cs="Times New Roman"/>
                <w:sz w:val="24"/>
                <w:szCs w:val="24"/>
              </w:rPr>
            </w:pPr>
            <w:r w:rsidRPr="002C3D24">
              <w:rPr>
                <w:rFonts w:ascii="Arial" w:eastAsia="Times New Roman" w:hAnsi="Arial" w:cs="Arial"/>
                <w:sz w:val="20"/>
                <w:szCs w:val="20"/>
              </w:rPr>
              <w:t>400,00 kuna</w:t>
            </w:r>
          </w:p>
        </w:tc>
      </w:tr>
      <w:tr w:rsidR="002C3D24" w:rsidRPr="002C3D24" w:rsidTr="002C3D24">
        <w:trPr>
          <w:trHeight w:val="270"/>
        </w:trPr>
        <w:tc>
          <w:tcPr>
            <w:tcW w:w="22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3.</w:t>
            </w:r>
          </w:p>
        </w:tc>
        <w:tc>
          <w:tcPr>
            <w:tcW w:w="952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Prijevoznici roba i prijevoz putnika</w:t>
            </w:r>
          </w:p>
        </w:tc>
        <w:tc>
          <w:tcPr>
            <w:tcW w:w="1515" w:type="dxa"/>
            <w:tcMar>
              <w:top w:w="0" w:type="dxa"/>
              <w:left w:w="40" w:type="dxa"/>
              <w:bottom w:w="0" w:type="dxa"/>
              <w:right w:w="40" w:type="dxa"/>
            </w:tcMar>
            <w:hideMark/>
          </w:tcPr>
          <w:p w:rsidR="002C3D24" w:rsidRPr="002C3D24" w:rsidRDefault="002C3D24" w:rsidP="002C3D24">
            <w:pPr>
              <w:spacing w:after="0" w:line="240" w:lineRule="auto"/>
              <w:jc w:val="right"/>
              <w:rPr>
                <w:rFonts w:ascii="Times New Roman" w:eastAsia="Times New Roman" w:hAnsi="Times New Roman" w:cs="Times New Roman"/>
                <w:sz w:val="24"/>
                <w:szCs w:val="24"/>
              </w:rPr>
            </w:pPr>
            <w:r w:rsidRPr="002C3D24">
              <w:rPr>
                <w:rFonts w:ascii="Arial" w:eastAsia="Times New Roman" w:hAnsi="Arial" w:cs="Arial"/>
                <w:sz w:val="20"/>
                <w:szCs w:val="20"/>
              </w:rPr>
              <w:t>400,00 kuna</w:t>
            </w:r>
          </w:p>
        </w:tc>
      </w:tr>
      <w:tr w:rsidR="002C3D24" w:rsidRPr="002C3D24" w:rsidTr="002C3D24">
        <w:trPr>
          <w:trHeight w:val="270"/>
        </w:trPr>
        <w:tc>
          <w:tcPr>
            <w:tcW w:w="22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4.</w:t>
            </w:r>
          </w:p>
        </w:tc>
        <w:tc>
          <w:tcPr>
            <w:tcW w:w="9525" w:type="dxa"/>
            <w:tcMar>
              <w:top w:w="0" w:type="dxa"/>
              <w:left w:w="40" w:type="dxa"/>
              <w:bottom w:w="0" w:type="dxa"/>
              <w:right w:w="40" w:type="dxa"/>
            </w:tcMar>
            <w:hideMark/>
          </w:tcPr>
          <w:p w:rsidR="002C3D24" w:rsidRPr="002C3D24" w:rsidRDefault="002C3D24" w:rsidP="002C3D24">
            <w:pPr>
              <w:spacing w:after="0" w:line="240" w:lineRule="auto"/>
              <w:rPr>
                <w:rFonts w:ascii="Times New Roman" w:eastAsia="Times New Roman" w:hAnsi="Times New Roman" w:cs="Times New Roman"/>
                <w:sz w:val="24"/>
                <w:szCs w:val="24"/>
              </w:rPr>
            </w:pPr>
            <w:r w:rsidRPr="002C3D24">
              <w:rPr>
                <w:rFonts w:ascii="Arial" w:eastAsia="Times New Roman" w:hAnsi="Arial" w:cs="Arial"/>
                <w:sz w:val="20"/>
                <w:szCs w:val="20"/>
              </w:rPr>
              <w:t>Odvjetnici i zdravstvene djelatnosti</w:t>
            </w:r>
          </w:p>
        </w:tc>
        <w:tc>
          <w:tcPr>
            <w:tcW w:w="1515" w:type="dxa"/>
            <w:tcMar>
              <w:top w:w="0" w:type="dxa"/>
              <w:left w:w="40" w:type="dxa"/>
              <w:bottom w:w="0" w:type="dxa"/>
              <w:right w:w="40" w:type="dxa"/>
            </w:tcMar>
            <w:hideMark/>
          </w:tcPr>
          <w:p w:rsidR="002C3D24" w:rsidRPr="002C3D24" w:rsidRDefault="002C3D24" w:rsidP="002C3D24">
            <w:pPr>
              <w:spacing w:after="0" w:line="240" w:lineRule="auto"/>
              <w:jc w:val="right"/>
              <w:rPr>
                <w:rFonts w:ascii="Times New Roman" w:eastAsia="Times New Roman" w:hAnsi="Times New Roman" w:cs="Times New Roman"/>
                <w:sz w:val="24"/>
                <w:szCs w:val="24"/>
              </w:rPr>
            </w:pPr>
            <w:r w:rsidRPr="002C3D24">
              <w:rPr>
                <w:rFonts w:ascii="Arial" w:eastAsia="Times New Roman" w:hAnsi="Arial" w:cs="Arial"/>
                <w:sz w:val="20"/>
                <w:szCs w:val="20"/>
              </w:rPr>
              <w:t>500,00 kuna</w:t>
            </w:r>
          </w:p>
        </w:tc>
      </w:tr>
      <w:tr w:rsidR="002C3D24" w:rsidRPr="002C3D24" w:rsidTr="002C3D24">
        <w:trPr>
          <w:trHeight w:val="135"/>
        </w:trPr>
        <w:tc>
          <w:tcPr>
            <w:tcW w:w="225" w:type="dxa"/>
            <w:tcMar>
              <w:top w:w="0" w:type="dxa"/>
              <w:left w:w="40" w:type="dxa"/>
              <w:bottom w:w="0" w:type="dxa"/>
              <w:right w:w="40" w:type="dxa"/>
            </w:tcMar>
            <w:hideMark/>
          </w:tcPr>
          <w:p w:rsidR="002C3D24" w:rsidRPr="002C3D24" w:rsidRDefault="002C3D24" w:rsidP="002C3D24">
            <w:pPr>
              <w:spacing w:after="0" w:line="135" w:lineRule="atLeast"/>
              <w:rPr>
                <w:rFonts w:ascii="Times New Roman" w:eastAsia="Times New Roman" w:hAnsi="Times New Roman" w:cs="Times New Roman"/>
                <w:sz w:val="24"/>
                <w:szCs w:val="24"/>
              </w:rPr>
            </w:pPr>
            <w:r w:rsidRPr="002C3D24">
              <w:rPr>
                <w:rFonts w:ascii="Arial" w:eastAsia="Times New Roman" w:hAnsi="Arial" w:cs="Arial"/>
                <w:sz w:val="20"/>
                <w:szCs w:val="20"/>
              </w:rPr>
              <w:t>5.</w:t>
            </w:r>
          </w:p>
        </w:tc>
        <w:tc>
          <w:tcPr>
            <w:tcW w:w="9525" w:type="dxa"/>
            <w:tcMar>
              <w:top w:w="0" w:type="dxa"/>
              <w:left w:w="40" w:type="dxa"/>
              <w:bottom w:w="0" w:type="dxa"/>
              <w:right w:w="40" w:type="dxa"/>
            </w:tcMar>
            <w:hideMark/>
          </w:tcPr>
          <w:p w:rsidR="002C3D24" w:rsidRPr="002C3D24" w:rsidRDefault="002C3D24" w:rsidP="002C3D24">
            <w:pPr>
              <w:spacing w:after="0" w:line="135" w:lineRule="atLeast"/>
              <w:rPr>
                <w:rFonts w:ascii="Times New Roman" w:eastAsia="Times New Roman" w:hAnsi="Times New Roman" w:cs="Times New Roman"/>
                <w:sz w:val="24"/>
                <w:szCs w:val="24"/>
              </w:rPr>
            </w:pPr>
            <w:r w:rsidRPr="002C3D24">
              <w:rPr>
                <w:rFonts w:ascii="Arial" w:eastAsia="Times New Roman" w:hAnsi="Arial" w:cs="Arial"/>
                <w:sz w:val="20"/>
                <w:szCs w:val="20"/>
              </w:rPr>
              <w:t>Deficitarne djelatnosti, prodaja i pružanje usluga na štandovima, tržnicama i pokretnim prodavaonicama</w:t>
            </w:r>
          </w:p>
        </w:tc>
        <w:tc>
          <w:tcPr>
            <w:tcW w:w="1515" w:type="dxa"/>
            <w:tcMar>
              <w:top w:w="0" w:type="dxa"/>
              <w:left w:w="40" w:type="dxa"/>
              <w:bottom w:w="0" w:type="dxa"/>
              <w:right w:w="40" w:type="dxa"/>
            </w:tcMar>
            <w:hideMark/>
          </w:tcPr>
          <w:p w:rsidR="002C3D24" w:rsidRPr="002C3D24" w:rsidRDefault="002C3D24" w:rsidP="002C3D24">
            <w:pPr>
              <w:spacing w:after="0" w:line="135" w:lineRule="atLeast"/>
              <w:jc w:val="right"/>
              <w:rPr>
                <w:rFonts w:ascii="Times New Roman" w:eastAsia="Times New Roman" w:hAnsi="Times New Roman" w:cs="Times New Roman"/>
                <w:sz w:val="24"/>
                <w:szCs w:val="24"/>
              </w:rPr>
            </w:pPr>
            <w:r w:rsidRPr="002C3D24">
              <w:rPr>
                <w:rFonts w:ascii="Arial" w:eastAsia="Times New Roman" w:hAnsi="Arial" w:cs="Arial"/>
                <w:sz w:val="20"/>
                <w:szCs w:val="20"/>
              </w:rPr>
              <w:t>260,00 kuna</w:t>
            </w:r>
          </w:p>
        </w:tc>
      </w:tr>
      <w:tr w:rsidR="002C3D24" w:rsidRPr="002C3D24" w:rsidTr="002C3D24">
        <w:trPr>
          <w:trHeight w:val="135"/>
        </w:trPr>
        <w:tc>
          <w:tcPr>
            <w:tcW w:w="225" w:type="dxa"/>
            <w:tcMar>
              <w:top w:w="0" w:type="dxa"/>
              <w:left w:w="40" w:type="dxa"/>
              <w:bottom w:w="0" w:type="dxa"/>
              <w:right w:w="40" w:type="dxa"/>
            </w:tcMar>
            <w:hideMark/>
          </w:tcPr>
          <w:p w:rsidR="002C3D24" w:rsidRPr="002C3D24" w:rsidRDefault="002C3D24" w:rsidP="002C3D24">
            <w:pPr>
              <w:spacing w:after="0" w:line="135" w:lineRule="atLeast"/>
              <w:rPr>
                <w:rFonts w:ascii="Times New Roman" w:eastAsia="Times New Roman" w:hAnsi="Times New Roman" w:cs="Times New Roman"/>
                <w:sz w:val="24"/>
                <w:szCs w:val="24"/>
              </w:rPr>
            </w:pPr>
            <w:r w:rsidRPr="002C3D24">
              <w:rPr>
                <w:rFonts w:ascii="Arial" w:eastAsia="Times New Roman" w:hAnsi="Arial" w:cs="Arial"/>
                <w:sz w:val="20"/>
                <w:szCs w:val="20"/>
              </w:rPr>
              <w:t>6.</w:t>
            </w:r>
          </w:p>
        </w:tc>
        <w:tc>
          <w:tcPr>
            <w:tcW w:w="9525" w:type="dxa"/>
            <w:tcMar>
              <w:top w:w="0" w:type="dxa"/>
              <w:left w:w="40" w:type="dxa"/>
              <w:bottom w:w="0" w:type="dxa"/>
              <w:right w:w="40" w:type="dxa"/>
            </w:tcMar>
            <w:hideMark/>
          </w:tcPr>
          <w:p w:rsidR="002C3D24" w:rsidRPr="002C3D24" w:rsidRDefault="002C3D24" w:rsidP="002C3D24">
            <w:pPr>
              <w:spacing w:after="0" w:line="135" w:lineRule="atLeast"/>
              <w:rPr>
                <w:rFonts w:ascii="Times New Roman" w:eastAsia="Times New Roman" w:hAnsi="Times New Roman" w:cs="Times New Roman"/>
                <w:sz w:val="24"/>
                <w:szCs w:val="24"/>
              </w:rPr>
            </w:pPr>
            <w:r w:rsidRPr="002C3D24">
              <w:rPr>
                <w:rFonts w:ascii="Arial" w:eastAsia="Times New Roman" w:hAnsi="Arial" w:cs="Arial"/>
                <w:sz w:val="20"/>
                <w:szCs w:val="20"/>
              </w:rPr>
              <w:t>Ostali</w:t>
            </w:r>
          </w:p>
        </w:tc>
        <w:tc>
          <w:tcPr>
            <w:tcW w:w="1515" w:type="dxa"/>
            <w:tcMar>
              <w:top w:w="0" w:type="dxa"/>
              <w:left w:w="40" w:type="dxa"/>
              <w:bottom w:w="0" w:type="dxa"/>
              <w:right w:w="40" w:type="dxa"/>
            </w:tcMar>
            <w:hideMark/>
          </w:tcPr>
          <w:p w:rsidR="002C3D24" w:rsidRPr="002C3D24" w:rsidRDefault="002C3D24" w:rsidP="002C3D24">
            <w:pPr>
              <w:spacing w:after="0" w:line="135" w:lineRule="atLeast"/>
              <w:jc w:val="right"/>
              <w:rPr>
                <w:rFonts w:ascii="Times New Roman" w:eastAsia="Times New Roman" w:hAnsi="Times New Roman" w:cs="Times New Roman"/>
                <w:sz w:val="24"/>
                <w:szCs w:val="24"/>
              </w:rPr>
            </w:pPr>
            <w:r w:rsidRPr="002C3D24">
              <w:rPr>
                <w:rFonts w:ascii="Arial" w:eastAsia="Times New Roman" w:hAnsi="Arial" w:cs="Arial"/>
                <w:sz w:val="20"/>
                <w:szCs w:val="20"/>
              </w:rPr>
              <w:t>300,00 kuna</w:t>
            </w:r>
          </w:p>
        </w:tc>
      </w:tr>
    </w:tbl>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 </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Ako je na istom objektu istaknuto više tvrtki, odnosno naziva iste pravne ili fizičke osobe, plaća se porez za svaku tvrtku.</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Ako postoji više vlasnika obrtničke radnje ili poduzeća plaća se samo jedan porez.</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Osobe iz stavka 1. ovog članka koje u svome sastavu imaju poslovne jedinice (prodavaonice, pogone, radionice, prodajna mjesta), obveznici su poreza na tvrtku odnosno naziv za svaku poslovnu jedinicu.</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Ako obveznik poreza na tvrtku u svom sastavu ima poslovne jedinice koje se nalaze na području općine Brckovljani, porez na tvrtku odnosno naziv za te poslovne jedinice prihod je općine Brckovljani.</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13.</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Tvrtkom odnosno nazivom u smislu članka 11. ove odluke smatra se istaknuti naziv (ime) poduzeća, bez obzira na oblik organiziranja i drugih pravnih osoba koje obavljaju gospodarsku djelatnost, osim natpisa na stolovima i otvorenim prodajnim mjestima, natpisa koji građevinska poduzeća i privatni građevinari ističu na gradilištima.</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14.</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Obveznik poreza na tvrtku, odnosno naziv dužan je tvrtku odnosno naziv i promjenu imena tvrtke odnosno naziva i svaku drugu promjenu što utječe na visinu poreza prijaviti Ispostavi porezne uprave Dugo Selo, u roku od 15 dana od dana upisa u registar, odnosno nastale promjene.</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15.</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Porez na tvrtku odnosno naziv plaća se u roku od 15 dana od dana dostave rješenja kojim je porez na tvrtku odnosno naziv utvrđen. Ako se tvrtka upiše u registar tijekom godine plaća se srazmjerni dio poreza na tvrtku odnosno naziv iz članka 11. ove Odluke.</w:t>
      </w:r>
    </w:p>
    <w:p w:rsidR="002C3D24" w:rsidRPr="002C3D24" w:rsidRDefault="002C3D24" w:rsidP="002C3D24">
      <w:pPr>
        <w:spacing w:before="360" w:after="240" w:line="240" w:lineRule="atLeast"/>
        <w:ind w:left="1050" w:right="1050"/>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POREZ NA KORIŠTENJE JAVNIH POVRŠINA</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16.</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Porez na korištenje javnih površina plaća se po stopi od 20% na utvrđenu osnovicu.</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lastRenderedPageBreak/>
        <w:t>Općinski načelnik donosi Odluku o davanju u zakup javnih površina i neizgrađenog građevinskog zemljišta za postavu kioska i pokretnih naprava.</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17.</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Osnovica poreza za korištenje javnih površina je plaćena zakupnina za kioske i pokretne naprave.</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18.</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Porez na korištenje javnih površina ne plaća se na javne površine dane u zakup od strane općine Brckovljani.</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19.</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Obračun i uplatu poreza na korištenje javnih površina obveznik je dužan izvršiti:</w:t>
      </w:r>
    </w:p>
    <w:p w:rsidR="002C3D24" w:rsidRPr="002C3D24" w:rsidRDefault="002C3D24" w:rsidP="002C3D24">
      <w:pPr>
        <w:spacing w:before="15" w:after="15" w:line="240" w:lineRule="auto"/>
        <w:ind w:left="1350" w:right="1050" w:hanging="150"/>
        <w:jc w:val="both"/>
        <w:rPr>
          <w:rFonts w:ascii="Arial" w:eastAsia="Times New Roman" w:hAnsi="Arial" w:cs="Arial"/>
          <w:color w:val="000000"/>
          <w:sz w:val="20"/>
          <w:szCs w:val="20"/>
        </w:rPr>
      </w:pPr>
      <w:r w:rsidRPr="002C3D24">
        <w:rPr>
          <w:rFonts w:ascii="Arial" w:eastAsia="Times New Roman" w:hAnsi="Arial" w:cs="Arial"/>
          <w:color w:val="000000"/>
          <w:sz w:val="20"/>
          <w:szCs w:val="20"/>
        </w:rPr>
        <w:t>- do 5.-og u mjesecu za prethodni mjesec kada se radi o zakupu zatvorenih kioska i ostalih pokretnih naprava na rok duži od mjesec dana ili od godinu dana</w:t>
      </w:r>
    </w:p>
    <w:p w:rsidR="002C3D24" w:rsidRPr="002C3D24" w:rsidRDefault="002C3D24" w:rsidP="002C3D24">
      <w:pPr>
        <w:spacing w:before="15" w:after="15" w:line="240" w:lineRule="auto"/>
        <w:ind w:left="1350" w:right="1050" w:hanging="150"/>
        <w:jc w:val="both"/>
        <w:rPr>
          <w:rFonts w:ascii="Arial" w:eastAsia="Times New Roman" w:hAnsi="Arial" w:cs="Arial"/>
          <w:color w:val="000000"/>
          <w:sz w:val="20"/>
          <w:szCs w:val="20"/>
        </w:rPr>
      </w:pPr>
      <w:r w:rsidRPr="002C3D24">
        <w:rPr>
          <w:rFonts w:ascii="Arial" w:eastAsia="Times New Roman" w:hAnsi="Arial" w:cs="Arial"/>
          <w:color w:val="000000"/>
          <w:sz w:val="20"/>
          <w:szCs w:val="20"/>
        </w:rPr>
        <w:t>- danom dobivanja rješenja o postavljanju pokretnih naprava kada se radi o zakupu unutar 30 dana.</w:t>
      </w:r>
    </w:p>
    <w:p w:rsidR="002C3D24" w:rsidRPr="002C3D24" w:rsidRDefault="002C3D24" w:rsidP="002C3D24">
      <w:pPr>
        <w:spacing w:before="360" w:after="240" w:line="240" w:lineRule="atLeast"/>
        <w:ind w:left="1050" w:right="1050"/>
        <w:rPr>
          <w:rFonts w:ascii="Arial" w:eastAsia="Times New Roman" w:hAnsi="Arial" w:cs="Arial"/>
          <w:b/>
          <w:bCs/>
          <w:color w:val="000000"/>
          <w:sz w:val="20"/>
          <w:szCs w:val="20"/>
        </w:rPr>
      </w:pPr>
      <w:r w:rsidRPr="002C3D24">
        <w:rPr>
          <w:rFonts w:ascii="Arial" w:eastAsia="Times New Roman" w:hAnsi="Arial" w:cs="Arial"/>
          <w:b/>
          <w:bCs/>
          <w:color w:val="000000"/>
          <w:sz w:val="24"/>
          <w:szCs w:val="24"/>
        </w:rPr>
        <w:t>III. Prijelazne i završne odredbe</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20. </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Poslovi utvrđivanja, evidentiranja, nadzora, naplate i ovrhe radi naplate općinskih poreza prenose se na Ministarstvo financija, Porezna uprava, Ispostava Dugo Selo.</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Porezi se prisilno naplaćuju prema odredbama Općeg poreznog zakona.</w:t>
      </w:r>
    </w:p>
    <w:p w:rsidR="002C3D24" w:rsidRPr="002C3D24" w:rsidRDefault="002C3D24" w:rsidP="002C3D24">
      <w:pPr>
        <w:spacing w:before="240" w:after="120" w:line="240" w:lineRule="atLeast"/>
        <w:ind w:left="1050" w:right="1050"/>
        <w:jc w:val="center"/>
        <w:rPr>
          <w:rFonts w:ascii="Arial" w:eastAsia="Times New Roman" w:hAnsi="Arial" w:cs="Arial"/>
          <w:b/>
          <w:bCs/>
          <w:color w:val="000000"/>
          <w:sz w:val="20"/>
          <w:szCs w:val="20"/>
        </w:rPr>
      </w:pPr>
      <w:r w:rsidRPr="002C3D24">
        <w:rPr>
          <w:rFonts w:ascii="Arial" w:eastAsia="Times New Roman" w:hAnsi="Arial" w:cs="Arial"/>
          <w:b/>
          <w:bCs/>
          <w:color w:val="000000"/>
          <w:sz w:val="20"/>
          <w:szCs w:val="20"/>
        </w:rPr>
        <w:t>Članak 21.</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Ova Odluka stupa na snagu 01. 01. 2010. godine, a objavit će se u Službenom glasniku općine Brckovljani. Danom stupanja na snagu ove odluke prestaje važiti Odluka o općinskim porezima donijeta na 7. sjednici Općinskog vijeća 24.05.2002. godine.</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2C3D24" w:rsidRPr="002C3D24" w:rsidTr="002C3D24">
        <w:trPr>
          <w:tblCellSpacing w:w="0" w:type="dxa"/>
        </w:trPr>
        <w:tc>
          <w:tcPr>
            <w:tcW w:w="3500" w:type="pct"/>
            <w:vAlign w:val="center"/>
            <w:hideMark/>
          </w:tcPr>
          <w:p w:rsidR="002C3D24" w:rsidRPr="002C3D24" w:rsidRDefault="002C3D24" w:rsidP="002C3D24">
            <w:pPr>
              <w:spacing w:after="0" w:line="240" w:lineRule="auto"/>
              <w:rPr>
                <w:rFonts w:ascii="Times New Roman" w:eastAsia="Times New Roman" w:hAnsi="Times New Roman" w:cs="Times New Roman"/>
                <w:sz w:val="24"/>
                <w:szCs w:val="24"/>
              </w:rPr>
            </w:pPr>
          </w:p>
        </w:tc>
        <w:tc>
          <w:tcPr>
            <w:tcW w:w="3750" w:type="dxa"/>
            <w:vAlign w:val="center"/>
            <w:hideMark/>
          </w:tcPr>
          <w:p w:rsidR="002C3D24" w:rsidRPr="002C3D24" w:rsidRDefault="002C3D24" w:rsidP="002C3D24">
            <w:pPr>
              <w:spacing w:before="100" w:beforeAutospacing="1" w:after="100" w:afterAutospacing="1" w:line="240" w:lineRule="auto"/>
              <w:jc w:val="center"/>
              <w:rPr>
                <w:rFonts w:ascii="Times New Roman" w:eastAsia="Times New Roman" w:hAnsi="Times New Roman" w:cs="Times New Roman"/>
                <w:sz w:val="24"/>
                <w:szCs w:val="24"/>
              </w:rPr>
            </w:pPr>
            <w:r w:rsidRPr="002C3D24">
              <w:rPr>
                <w:rFonts w:ascii="Arial" w:eastAsia="Times New Roman" w:hAnsi="Arial" w:cs="Arial"/>
                <w:sz w:val="20"/>
                <w:szCs w:val="20"/>
              </w:rPr>
              <w:t>PREDSJEDNIK</w:t>
            </w:r>
            <w:r w:rsidRPr="002C3D24">
              <w:rPr>
                <w:rFonts w:ascii="Arial" w:eastAsia="Times New Roman" w:hAnsi="Arial" w:cs="Arial"/>
                <w:sz w:val="20"/>
                <w:szCs w:val="20"/>
              </w:rPr>
              <w:br/>
              <w:t>OPĆINSKOG VIJEĆA</w:t>
            </w:r>
            <w:r w:rsidRPr="002C3D24">
              <w:rPr>
                <w:rFonts w:ascii="Arial" w:eastAsia="Times New Roman" w:hAnsi="Arial" w:cs="Arial"/>
                <w:sz w:val="20"/>
                <w:szCs w:val="20"/>
              </w:rPr>
              <w:br/>
              <w:t>OPĆINE BRCKOVLJANI</w:t>
            </w:r>
            <w:r w:rsidRPr="002C3D24">
              <w:rPr>
                <w:rFonts w:ascii="Arial" w:eastAsia="Times New Roman" w:hAnsi="Arial" w:cs="Arial"/>
                <w:sz w:val="20"/>
                <w:szCs w:val="20"/>
              </w:rPr>
              <w:br/>
            </w:r>
            <w:r w:rsidRPr="002C3D24">
              <w:rPr>
                <w:rFonts w:ascii="Arial" w:eastAsia="Times New Roman" w:hAnsi="Arial" w:cs="Arial"/>
                <w:b/>
                <w:bCs/>
                <w:sz w:val="20"/>
                <w:szCs w:val="20"/>
              </w:rPr>
              <w:t>Božo Graberec v.r.</w:t>
            </w:r>
          </w:p>
        </w:tc>
      </w:tr>
    </w:tbl>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 </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Klasa: 021-05/09-01/87 </w:t>
      </w:r>
      <w:r w:rsidRPr="002C3D24">
        <w:rPr>
          <w:rFonts w:ascii="Arial" w:eastAsia="Times New Roman" w:hAnsi="Arial" w:cs="Arial"/>
          <w:color w:val="000000"/>
          <w:sz w:val="20"/>
          <w:szCs w:val="20"/>
        </w:rPr>
        <w:br/>
        <w:t>Ur. broj: 238/04-09-8 </w:t>
      </w:r>
      <w:r w:rsidRPr="002C3D24">
        <w:rPr>
          <w:rFonts w:ascii="Arial" w:eastAsia="Times New Roman" w:hAnsi="Arial" w:cs="Arial"/>
          <w:color w:val="000000"/>
          <w:sz w:val="20"/>
          <w:szCs w:val="20"/>
        </w:rPr>
        <w:br/>
        <w:t>Dugo Selo, 17.11.2009.</w:t>
      </w:r>
    </w:p>
    <w:p w:rsidR="002C3D24" w:rsidRPr="002C3D24" w:rsidRDefault="002C3D24" w:rsidP="002C3D24">
      <w:pPr>
        <w:spacing w:before="15" w:after="15" w:line="240" w:lineRule="auto"/>
        <w:ind w:left="1050" w:right="1050"/>
        <w:jc w:val="both"/>
        <w:rPr>
          <w:rFonts w:ascii="Arial" w:eastAsia="Times New Roman" w:hAnsi="Arial" w:cs="Arial"/>
          <w:color w:val="000000"/>
          <w:sz w:val="20"/>
          <w:szCs w:val="20"/>
        </w:rPr>
      </w:pPr>
      <w:r w:rsidRPr="002C3D24">
        <w:rPr>
          <w:rFonts w:ascii="Arial" w:eastAsia="Times New Roman" w:hAnsi="Arial" w:cs="Arial"/>
          <w:color w:val="000000"/>
          <w:sz w:val="20"/>
          <w:szCs w:val="20"/>
        </w:rPr>
        <w:t>               </w:t>
      </w:r>
    </w:p>
    <w:p w:rsidR="00C55984" w:rsidRDefault="00C55984"/>
    <w:sectPr w:rsidR="00C559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2C3D24"/>
    <w:rsid w:val="002C3D24"/>
    <w:rsid w:val="00C5598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2C3D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C3D24"/>
  </w:style>
  <w:style w:type="paragraph" w:customStyle="1" w:styleId="naslov">
    <w:name w:val="naslov"/>
    <w:basedOn w:val="Normal"/>
    <w:rsid w:val="002C3D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2C3D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2C3D2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C3D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85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2016-07-21T09:53:00Z</dcterms:created>
  <dcterms:modified xsi:type="dcterms:W3CDTF">2016-07-21T09:53:00Z</dcterms:modified>
</cp:coreProperties>
</file>